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3F" w:rsidRPr="00840C3F" w:rsidRDefault="00840C3F" w:rsidP="0084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ПО ИТОГАМ ПРОБНОГО ОГЭ</w:t>
      </w:r>
    </w:p>
    <w:p w:rsidR="00840C3F" w:rsidRPr="00840C3F" w:rsidRDefault="00116518" w:rsidP="00116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522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0C3F" w:rsidRPr="008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РУССКОМУ ЯЗЫКУ </w:t>
      </w:r>
    </w:p>
    <w:p w:rsidR="00840C3F" w:rsidRPr="00522616" w:rsidRDefault="00522616" w:rsidP="0052261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  <w:r w:rsidRPr="005226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226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Карломарксовская</w:t>
      </w:r>
      <w:proofErr w:type="spellEnd"/>
      <w:r w:rsidRPr="005226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СОШ»</w:t>
      </w:r>
    </w:p>
    <w:p w:rsidR="00522616" w:rsidRPr="00522616" w:rsidRDefault="00522616" w:rsidP="00840C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60F" w:rsidRDefault="00E4360F" w:rsidP="00840C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616" w:rsidRPr="00E4360F" w:rsidRDefault="00E4360F" w:rsidP="00840C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 28.12.21 г.</w:t>
      </w:r>
    </w:p>
    <w:p w:rsidR="00840C3F" w:rsidRPr="00840C3F" w:rsidRDefault="00840C3F" w:rsidP="00840C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подготовки школы к государственной (итоговой) аттестации выпускников 9-го класса </w:t>
      </w:r>
      <w:r w:rsidR="00116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декабря 2021</w:t>
      </w:r>
      <w:r w:rsidRPr="00840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проведено пробное диагностическое тестирование в формате ОГЭ для выпускников 9</w:t>
      </w:r>
      <w:r w:rsidR="00116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0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классов по русскому языку.</w:t>
      </w: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пробного ОГЭ все участники строго руководствовались инструкцией по проведению основного государственного экзамена, соблюдалась процедура проведения.</w:t>
      </w:r>
    </w:p>
    <w:p w:rsidR="00840C3F" w:rsidRPr="00840C3F" w:rsidRDefault="00840C3F" w:rsidP="00840C3F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0C3F" w:rsidRPr="00840C3F" w:rsidRDefault="00840C3F" w:rsidP="00840C3F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отработать процедуру организации и проведения ОГЭ; </w:t>
      </w:r>
    </w:p>
    <w:p w:rsidR="00840C3F" w:rsidRPr="00840C3F" w:rsidRDefault="00840C3F" w:rsidP="00840C3F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уровень усвоения обучающимися материала за курс основного общего образования;</w:t>
      </w:r>
    </w:p>
    <w:p w:rsidR="00840C3F" w:rsidRPr="00840C3F" w:rsidRDefault="00840C3F" w:rsidP="00840C3F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определить качество заполнения бланков ОГЭ;</w:t>
      </w:r>
    </w:p>
    <w:p w:rsidR="00840C3F" w:rsidRPr="00840C3F" w:rsidRDefault="00840C3F" w:rsidP="00840C3F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уровень подготовки учащихся к экзамену по предмету «Русский язык».</w:t>
      </w:r>
    </w:p>
    <w:p w:rsidR="00840C3F" w:rsidRPr="00840C3F" w:rsidRDefault="00840C3F" w:rsidP="0084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0C3F" w:rsidRPr="00840C3F" w:rsidRDefault="00840C3F" w:rsidP="0084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0C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Краткая характеристика экзаменационной работы</w:t>
      </w:r>
    </w:p>
    <w:p w:rsidR="00840C3F" w:rsidRPr="00840C3F" w:rsidRDefault="00840C3F" w:rsidP="00840C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Экзаменационная работа по русскому языку состояла из трех частей. </w:t>
      </w: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Часть </w:t>
      </w:r>
      <w:proofErr w:type="gramStart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  представляла</w:t>
      </w:r>
      <w:proofErr w:type="gramEnd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сжатое изложение на основе прослушанного  текста.</w:t>
      </w: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Вторая и третья часть работы выполнялись на основе одного и того </w:t>
      </w:r>
      <w:proofErr w:type="gramStart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  прочитанного</w:t>
      </w:r>
      <w:proofErr w:type="gramEnd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выпускниками исходного текста.  </w:t>
      </w:r>
      <w:proofErr w:type="gramStart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 вторая</w:t>
      </w:r>
      <w:proofErr w:type="gramEnd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содержала тестовые задания с записью краткого ответа  (задания 2-8). Часть третья проверяла умение создавать собственное высказывание на основе прочитанного текста.</w:t>
      </w:r>
    </w:p>
    <w:p w:rsidR="00840C3F" w:rsidRPr="00840C3F" w:rsidRDefault="00840C3F" w:rsidP="00840C3F">
      <w:pPr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Практическая грамотность и фактическая </w:t>
      </w:r>
      <w:proofErr w:type="gramStart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  письменной</w:t>
      </w:r>
      <w:proofErr w:type="gramEnd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неоднотипных</w:t>
      </w:r>
      <w:proofErr w:type="spellEnd"/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ошибок. </w:t>
      </w:r>
    </w:p>
    <w:p w:rsidR="00840C3F" w:rsidRPr="00840C3F" w:rsidRDefault="00840C3F" w:rsidP="00840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Максимальное количество баллов, которое мог получить экзаменуемый за выполнение всей экзаменационной работы, – 33 балла.</w:t>
      </w:r>
    </w:p>
    <w:p w:rsidR="00840C3F" w:rsidRPr="00840C3F" w:rsidRDefault="00840C3F"/>
    <w:p w:rsidR="00840C3F" w:rsidRPr="004C1CBD" w:rsidRDefault="00840C3F" w:rsidP="00840C3F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учащихся - 20</w:t>
      </w:r>
    </w:p>
    <w:p w:rsidR="00840C3F" w:rsidRDefault="00840C3F" w:rsidP="00840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Писали - </w:t>
      </w:r>
      <w:r w:rsidR="004C1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840C3F" w:rsidRDefault="00840C3F" w:rsidP="00840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C3F" w:rsidRDefault="00840C3F" w:rsidP="00840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63"/>
        <w:gridCol w:w="1522"/>
        <w:gridCol w:w="694"/>
        <w:gridCol w:w="964"/>
        <w:gridCol w:w="485"/>
        <w:gridCol w:w="518"/>
        <w:gridCol w:w="607"/>
        <w:gridCol w:w="463"/>
        <w:gridCol w:w="949"/>
        <w:gridCol w:w="909"/>
        <w:gridCol w:w="852"/>
        <w:gridCol w:w="826"/>
        <w:gridCol w:w="949"/>
      </w:tblGrid>
      <w:tr w:rsidR="00A43C88" w:rsidTr="0082554C">
        <w:trPr>
          <w:trHeight w:val="705"/>
        </w:trPr>
        <w:tc>
          <w:tcPr>
            <w:tcW w:w="463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№</w:t>
            </w:r>
          </w:p>
        </w:tc>
        <w:tc>
          <w:tcPr>
            <w:tcW w:w="1522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Дата проведения</w:t>
            </w:r>
          </w:p>
        </w:tc>
        <w:tc>
          <w:tcPr>
            <w:tcW w:w="694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Кол-во уч-ся</w:t>
            </w:r>
          </w:p>
        </w:tc>
        <w:tc>
          <w:tcPr>
            <w:tcW w:w="964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Писали работу</w:t>
            </w:r>
          </w:p>
        </w:tc>
        <w:tc>
          <w:tcPr>
            <w:tcW w:w="2073" w:type="dxa"/>
            <w:gridSpan w:val="4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 xml:space="preserve">Оценки </w:t>
            </w:r>
          </w:p>
        </w:tc>
        <w:tc>
          <w:tcPr>
            <w:tcW w:w="949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proofErr w:type="spellStart"/>
            <w:r w:rsidRPr="00A43C88">
              <w:rPr>
                <w:rFonts w:ascii="Calibri" w:eastAsia="Calibri" w:hAnsi="Calibri" w:cs="Times New Roman"/>
                <w:sz w:val="24"/>
              </w:rPr>
              <w:t>Кач</w:t>
            </w:r>
            <w:proofErr w:type="spellEnd"/>
            <w:r w:rsidRPr="00A43C88">
              <w:rPr>
                <w:rFonts w:ascii="Calibri" w:eastAsia="Calibri" w:hAnsi="Calibri" w:cs="Times New Roman"/>
                <w:sz w:val="24"/>
              </w:rPr>
              <w:t>. знаний</w:t>
            </w:r>
          </w:p>
        </w:tc>
        <w:tc>
          <w:tcPr>
            <w:tcW w:w="909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Успев.</w:t>
            </w:r>
          </w:p>
        </w:tc>
        <w:tc>
          <w:tcPr>
            <w:tcW w:w="852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Ср. балл</w:t>
            </w:r>
          </w:p>
        </w:tc>
        <w:tc>
          <w:tcPr>
            <w:tcW w:w="826" w:type="dxa"/>
            <w:vMerge w:val="restart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СОУ</w:t>
            </w:r>
          </w:p>
        </w:tc>
        <w:tc>
          <w:tcPr>
            <w:tcW w:w="949" w:type="dxa"/>
            <w:vMerge w:val="restart"/>
          </w:tcPr>
          <w:p w:rsidR="00A43C88" w:rsidRP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A43C88">
              <w:rPr>
                <w:rFonts w:ascii="Calibri" w:eastAsia="Calibri" w:hAnsi="Calibri" w:cs="Times New Roman"/>
                <w:sz w:val="24"/>
              </w:rPr>
              <w:t>Коэф</w:t>
            </w:r>
            <w:proofErr w:type="spellEnd"/>
            <w:r w:rsidRPr="00A43C88">
              <w:rPr>
                <w:rFonts w:ascii="Calibri" w:eastAsia="Calibri" w:hAnsi="Calibri" w:cs="Times New Roman"/>
                <w:sz w:val="24"/>
              </w:rPr>
              <w:t>. знаний</w:t>
            </w:r>
          </w:p>
        </w:tc>
      </w:tr>
      <w:tr w:rsidR="00482F4C" w:rsidTr="0082554C">
        <w:trPr>
          <w:trHeight w:val="541"/>
        </w:trPr>
        <w:tc>
          <w:tcPr>
            <w:tcW w:w="463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694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64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85" w:type="dxa"/>
          </w:tcPr>
          <w:p w:rsidR="00A43C88" w:rsidRPr="00482F4C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 w:rsidRPr="00482F4C">
              <w:rPr>
                <w:rFonts w:ascii="Calibri" w:eastAsia="Calibri" w:hAnsi="Calibri" w:cs="Times New Roman"/>
                <w:sz w:val="24"/>
              </w:rPr>
              <w:t>5</w:t>
            </w:r>
          </w:p>
        </w:tc>
        <w:tc>
          <w:tcPr>
            <w:tcW w:w="518" w:type="dxa"/>
          </w:tcPr>
          <w:p w:rsidR="00A43C88" w:rsidRPr="00482F4C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 w:rsidRPr="00482F4C">
              <w:rPr>
                <w:rFonts w:ascii="Calibri" w:eastAsia="Calibri" w:hAnsi="Calibri" w:cs="Times New Roman"/>
                <w:sz w:val="24"/>
              </w:rPr>
              <w:t>4</w:t>
            </w:r>
          </w:p>
        </w:tc>
        <w:tc>
          <w:tcPr>
            <w:tcW w:w="607" w:type="dxa"/>
          </w:tcPr>
          <w:p w:rsidR="00A43C88" w:rsidRPr="00482F4C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 w:rsidRPr="00482F4C">
              <w:rPr>
                <w:rFonts w:ascii="Calibri" w:eastAsia="Calibri" w:hAnsi="Calibri" w:cs="Times New Roman"/>
                <w:sz w:val="24"/>
              </w:rPr>
              <w:t>3</w:t>
            </w:r>
          </w:p>
        </w:tc>
        <w:tc>
          <w:tcPr>
            <w:tcW w:w="463" w:type="dxa"/>
          </w:tcPr>
          <w:p w:rsidR="00A43C88" w:rsidRPr="00482F4C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 w:rsidRPr="00482F4C">
              <w:rPr>
                <w:rFonts w:ascii="Calibri" w:eastAsia="Calibri" w:hAnsi="Calibri" w:cs="Times New Roman"/>
                <w:sz w:val="24"/>
              </w:rPr>
              <w:t>2</w:t>
            </w:r>
          </w:p>
        </w:tc>
        <w:tc>
          <w:tcPr>
            <w:tcW w:w="949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09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852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826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49" w:type="dxa"/>
            <w:vMerge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482F4C" w:rsidTr="0082554C">
        <w:tc>
          <w:tcPr>
            <w:tcW w:w="463" w:type="dxa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1.</w:t>
            </w:r>
          </w:p>
        </w:tc>
        <w:tc>
          <w:tcPr>
            <w:tcW w:w="1522" w:type="dxa"/>
          </w:tcPr>
          <w:p w:rsid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694" w:type="dxa"/>
          </w:tcPr>
          <w:p w:rsidR="00A43C88" w:rsidRP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 w:rsidRPr="00A43C88">
              <w:rPr>
                <w:rFonts w:ascii="Calibri" w:eastAsia="Calibri" w:hAnsi="Calibri" w:cs="Times New Roman"/>
                <w:sz w:val="24"/>
              </w:rPr>
              <w:t>20</w:t>
            </w:r>
          </w:p>
        </w:tc>
        <w:tc>
          <w:tcPr>
            <w:tcW w:w="964" w:type="dxa"/>
          </w:tcPr>
          <w:p w:rsidR="00A43C88" w:rsidRPr="00A43C88" w:rsidRDefault="00A43C88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20</w:t>
            </w:r>
          </w:p>
        </w:tc>
        <w:tc>
          <w:tcPr>
            <w:tcW w:w="485" w:type="dxa"/>
          </w:tcPr>
          <w:p w:rsidR="00A43C88" w:rsidRPr="00A43C88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-</w:t>
            </w:r>
          </w:p>
        </w:tc>
        <w:tc>
          <w:tcPr>
            <w:tcW w:w="518" w:type="dxa"/>
          </w:tcPr>
          <w:p w:rsidR="00A43C88" w:rsidRPr="00A43C88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</w:t>
            </w:r>
          </w:p>
        </w:tc>
        <w:tc>
          <w:tcPr>
            <w:tcW w:w="607" w:type="dxa"/>
          </w:tcPr>
          <w:p w:rsidR="00A43C88" w:rsidRPr="00A43C88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13</w:t>
            </w:r>
          </w:p>
        </w:tc>
        <w:tc>
          <w:tcPr>
            <w:tcW w:w="463" w:type="dxa"/>
          </w:tcPr>
          <w:p w:rsidR="00A43C88" w:rsidRPr="00A43C88" w:rsidRDefault="00482F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4</w:t>
            </w:r>
          </w:p>
        </w:tc>
        <w:tc>
          <w:tcPr>
            <w:tcW w:w="949" w:type="dxa"/>
          </w:tcPr>
          <w:p w:rsidR="00A43C88" w:rsidRPr="00A43C88" w:rsidRDefault="008255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15</w:t>
            </w:r>
          </w:p>
        </w:tc>
        <w:tc>
          <w:tcPr>
            <w:tcW w:w="909" w:type="dxa"/>
          </w:tcPr>
          <w:p w:rsidR="00A43C88" w:rsidRPr="00A43C88" w:rsidRDefault="008255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80</w:t>
            </w:r>
          </w:p>
        </w:tc>
        <w:tc>
          <w:tcPr>
            <w:tcW w:w="852" w:type="dxa"/>
          </w:tcPr>
          <w:p w:rsidR="00A43C88" w:rsidRPr="00A43C88" w:rsidRDefault="008255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</w:t>
            </w:r>
          </w:p>
        </w:tc>
        <w:tc>
          <w:tcPr>
            <w:tcW w:w="826" w:type="dxa"/>
          </w:tcPr>
          <w:p w:rsidR="00A43C88" w:rsidRPr="00A43C88" w:rsidRDefault="008255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35,8</w:t>
            </w:r>
          </w:p>
        </w:tc>
        <w:tc>
          <w:tcPr>
            <w:tcW w:w="949" w:type="dxa"/>
          </w:tcPr>
          <w:p w:rsidR="00A43C88" w:rsidRPr="00A43C88" w:rsidRDefault="0082554C" w:rsidP="00A43C8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12</w:t>
            </w:r>
          </w:p>
        </w:tc>
      </w:tr>
    </w:tbl>
    <w:p w:rsidR="007B190D" w:rsidRDefault="007B190D" w:rsidP="0011651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6518" w:rsidRPr="007B190D" w:rsidRDefault="00116518" w:rsidP="0011651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16518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2 написали работу</w:t>
      </w:r>
      <w:r w:rsidRPr="0011651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B190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116518">
        <w:rPr>
          <w:rFonts w:ascii="Times New Roman" w:eastAsia="Calibri" w:hAnsi="Times New Roman" w:cs="Times New Roman"/>
          <w:sz w:val="24"/>
          <w:szCs w:val="24"/>
        </w:rPr>
        <w:t xml:space="preserve">Курбанов Магомед                                                                                                                  Рамазанов Рамазан                                                                                                                   Рамазанова </w:t>
      </w:r>
      <w:proofErr w:type="spellStart"/>
      <w:r w:rsidRPr="00116518">
        <w:rPr>
          <w:rFonts w:ascii="Times New Roman" w:eastAsia="Calibri" w:hAnsi="Times New Roman" w:cs="Times New Roman"/>
          <w:sz w:val="24"/>
          <w:szCs w:val="24"/>
        </w:rPr>
        <w:t>Разият</w:t>
      </w:r>
      <w:proofErr w:type="spellEnd"/>
      <w:r w:rsidRPr="00116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116518">
        <w:rPr>
          <w:rFonts w:ascii="Times New Roman" w:eastAsia="Calibri" w:hAnsi="Times New Roman" w:cs="Times New Roman"/>
          <w:sz w:val="24"/>
          <w:szCs w:val="24"/>
        </w:rPr>
        <w:t>Хайрудинова</w:t>
      </w:r>
      <w:proofErr w:type="spellEnd"/>
      <w:r w:rsidRPr="00116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116518" w:rsidRDefault="00116518" w:rsidP="001165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5881" w:rsidRPr="00116518" w:rsidRDefault="00116518" w:rsidP="001165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840C3F" w:rsidRPr="008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часть (задания 2 -8</w:t>
      </w:r>
      <w:r w:rsidR="009D0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тестовые задания                                                                                  </w:t>
      </w:r>
    </w:p>
    <w:p w:rsidR="00840C3F" w:rsidRPr="00840C3F" w:rsidRDefault="00116518" w:rsidP="00840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9D0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выполнения</w:t>
      </w:r>
      <w:r w:rsidR="00840C3F" w:rsidRPr="008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тестовых заданий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5584"/>
        <w:gridCol w:w="1211"/>
      </w:tblGrid>
      <w:tr w:rsidR="0082554C" w:rsidRPr="00840C3F" w:rsidTr="0082554C">
        <w:trPr>
          <w:trHeight w:val="1151"/>
        </w:trPr>
        <w:tc>
          <w:tcPr>
            <w:tcW w:w="1456" w:type="dxa"/>
            <w:vAlign w:val="center"/>
          </w:tcPr>
          <w:p w:rsidR="0082554C" w:rsidRPr="00840C3F" w:rsidRDefault="0082554C" w:rsidP="0084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Обозначение задания в работе</w:t>
            </w:r>
          </w:p>
        </w:tc>
        <w:tc>
          <w:tcPr>
            <w:tcW w:w="5584" w:type="dxa"/>
            <w:vAlign w:val="center"/>
          </w:tcPr>
          <w:p w:rsidR="0082554C" w:rsidRPr="00840C3F" w:rsidRDefault="0082554C" w:rsidP="0084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1211" w:type="dxa"/>
          </w:tcPr>
          <w:p w:rsidR="0082554C" w:rsidRPr="00840C3F" w:rsidRDefault="0082554C" w:rsidP="0084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Дали правильный ответ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82554C" w:rsidRPr="00840C3F" w:rsidTr="0082554C">
        <w:trPr>
          <w:trHeight w:val="283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2 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Синтаксический анализ текста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554C" w:rsidRPr="00840C3F" w:rsidTr="0082554C">
        <w:trPr>
          <w:trHeight w:val="283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3 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Пунктуационный анализ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2554C" w:rsidRPr="00840C3F" w:rsidTr="0082554C">
        <w:trPr>
          <w:trHeight w:val="283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4 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Синтаксический анализ.</w:t>
            </w:r>
            <w:r w:rsidR="00204729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(Замена словосочетаний)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tabs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2554C" w:rsidRPr="00840C3F" w:rsidTr="0082554C">
        <w:trPr>
          <w:trHeight w:val="283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5 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Орфографический анализ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2554C" w:rsidRPr="00840C3F" w:rsidTr="0082554C">
        <w:trPr>
          <w:trHeight w:val="283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6 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Анализ содержания текста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2554C" w:rsidRPr="00840C3F" w:rsidTr="0082554C">
        <w:trPr>
          <w:trHeight w:val="434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7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Анализ средств выразительности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2554C" w:rsidRPr="00840C3F" w:rsidTr="0082554C">
        <w:trPr>
          <w:trHeight w:val="300"/>
        </w:trPr>
        <w:tc>
          <w:tcPr>
            <w:tcW w:w="1456" w:type="dxa"/>
          </w:tcPr>
          <w:p w:rsidR="0082554C" w:rsidRPr="00840C3F" w:rsidRDefault="0082554C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8 </w:t>
            </w:r>
          </w:p>
        </w:tc>
        <w:tc>
          <w:tcPr>
            <w:tcW w:w="5584" w:type="dxa"/>
          </w:tcPr>
          <w:p w:rsidR="0082554C" w:rsidRPr="00840C3F" w:rsidRDefault="0082554C" w:rsidP="0084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840C3F"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  <w:t>Лексический анализ</w:t>
            </w:r>
          </w:p>
        </w:tc>
        <w:tc>
          <w:tcPr>
            <w:tcW w:w="1211" w:type="dxa"/>
          </w:tcPr>
          <w:p w:rsidR="0082554C" w:rsidRPr="00840C3F" w:rsidRDefault="00204729" w:rsidP="00840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82554C" w:rsidRDefault="0082554C" w:rsidP="008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C3F" w:rsidRPr="0082554C" w:rsidRDefault="00204729" w:rsidP="0082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заданий </w:t>
      </w:r>
      <w:r w:rsidR="00840C3F" w:rsidRPr="008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тестовой части </w:t>
      </w:r>
      <w:r w:rsidR="00840C3F"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показал, что наибольшее затруднение вызвали задания на следующие темы: №2 </w:t>
      </w:r>
      <w:r w:rsidR="00840C3F" w:rsidRPr="00840C3F">
        <w:rPr>
          <w:rFonts w:ascii="TimesNewRomanPSMT" w:eastAsia="Calibri" w:hAnsi="TimesNewRomanPSMT" w:cs="TimesNewRomanPSMT"/>
          <w:sz w:val="24"/>
          <w:szCs w:val="24"/>
          <w:lang w:eastAsia="ru-RU"/>
        </w:rPr>
        <w:t>Синтаксический анализ, №3 Пунктуационный анализ, №5 Орфографический анализ</w:t>
      </w:r>
    </w:p>
    <w:p w:rsidR="00840C3F" w:rsidRPr="00840C3F" w:rsidRDefault="00840C3F" w:rsidP="00840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причины выявленных ошибок: слабые теоретические </w:t>
      </w:r>
      <w:r w:rsidR="0020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по разделу «Орфография» - </w:t>
      </w: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4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на различные орфограммы, так как были правильно указаны многие ответы, которые из-за орфографических ошибок не были засчитаны.</w:t>
      </w: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</w:t>
      </w:r>
    </w:p>
    <w:p w:rsidR="00840C3F" w:rsidRPr="00840C3F" w:rsidRDefault="00840C3F" w:rsidP="00840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«Синтаксис сложного предложения» изучен на сегодняшний день не до конца.</w:t>
      </w:r>
    </w:p>
    <w:p w:rsidR="00840C3F" w:rsidRPr="00840C3F" w:rsidRDefault="00840C3F" w:rsidP="00840C3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46158E" w:rsidRPr="0046158E" w:rsidRDefault="0046158E" w:rsidP="00840C3F">
      <w:pPr>
        <w:rPr>
          <w:b/>
        </w:rPr>
      </w:pPr>
    </w:p>
    <w:p w:rsidR="0046158E" w:rsidRDefault="0046158E" w:rsidP="0046158E">
      <w:pPr>
        <w:rPr>
          <w:rFonts w:ascii="Times New Roman" w:hAnsi="Times New Roman" w:cs="Times New Roman"/>
          <w:b/>
          <w:sz w:val="24"/>
        </w:rPr>
      </w:pPr>
      <w:r w:rsidRPr="0046158E">
        <w:rPr>
          <w:rFonts w:ascii="Times New Roman" w:hAnsi="Times New Roman" w:cs="Times New Roman"/>
          <w:b/>
          <w:sz w:val="24"/>
        </w:rPr>
        <w:t>Анализ заданий части 1</w:t>
      </w:r>
      <w:r>
        <w:rPr>
          <w:rFonts w:ascii="Times New Roman" w:hAnsi="Times New Roman" w:cs="Times New Roman"/>
          <w:b/>
          <w:sz w:val="24"/>
        </w:rPr>
        <w:t xml:space="preserve"> (изложение)</w:t>
      </w:r>
    </w:p>
    <w:p w:rsidR="005A0836" w:rsidRDefault="0046158E" w:rsidP="004615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ИК 1. </w:t>
      </w:r>
      <w:r w:rsidRPr="0046158E">
        <w:rPr>
          <w:rFonts w:ascii="Times New Roman" w:hAnsi="Times New Roman" w:cs="Times New Roman"/>
          <w:sz w:val="24"/>
        </w:rPr>
        <w:t xml:space="preserve">Основное </w:t>
      </w:r>
      <w:r>
        <w:rPr>
          <w:rFonts w:ascii="Times New Roman" w:hAnsi="Times New Roman" w:cs="Times New Roman"/>
          <w:sz w:val="24"/>
        </w:rPr>
        <w:t xml:space="preserve">содержание прослушанного текста смогли передать верно не все учащиеся, некоторые из них упустили одну или две </w:t>
      </w:r>
      <w:proofErr w:type="spellStart"/>
      <w:r>
        <w:rPr>
          <w:rFonts w:ascii="Times New Roman" w:hAnsi="Times New Roman" w:cs="Times New Roman"/>
          <w:sz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                               ИК 2. Среди типичных ошибок по данному критерию можно отметить недостаточное владение </w:t>
      </w:r>
      <w:r w:rsidR="005A0836">
        <w:rPr>
          <w:rFonts w:ascii="Times New Roman" w:hAnsi="Times New Roman" w:cs="Times New Roman"/>
          <w:sz w:val="24"/>
        </w:rPr>
        <w:t>критериями выделения главной и второстепенной информации текста. Затруднения у ребят при написания сжатого изложения были связаны с правильным применением приемов сжатия текста.                                                                                       ИК 3.</w:t>
      </w:r>
      <w:r w:rsidR="00A30577">
        <w:rPr>
          <w:rFonts w:ascii="Times New Roman" w:hAnsi="Times New Roman" w:cs="Times New Roman"/>
          <w:sz w:val="24"/>
        </w:rPr>
        <w:t xml:space="preserve"> По этому критерию есть ошибки, связанные с неумением связывать необходимые средства связи предложений в тексте. Одна из ошибок – нарушение </w:t>
      </w:r>
      <w:r w:rsidR="009D0F8D">
        <w:rPr>
          <w:rFonts w:ascii="Times New Roman" w:hAnsi="Times New Roman" w:cs="Times New Roman"/>
          <w:sz w:val="24"/>
        </w:rPr>
        <w:t>абзацного членения текста.</w:t>
      </w:r>
    </w:p>
    <w:p w:rsidR="009D0F8D" w:rsidRPr="0046158E" w:rsidRDefault="009D0F8D" w:rsidP="004615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полученных результатов позволяет сделать вывод: обучающиеся не всегда могут воспринять замысел автора, выделить основную информацию, а грамматический строй изложений отличается однообразием конструкций.</w:t>
      </w:r>
    </w:p>
    <w:p w:rsidR="0046158E" w:rsidRPr="0046158E" w:rsidRDefault="0046158E" w:rsidP="0046158E"/>
    <w:p w:rsidR="0046158E" w:rsidRPr="0046158E" w:rsidRDefault="0046158E" w:rsidP="009D0F8D">
      <w:pPr>
        <w:spacing w:before="75" w:after="0" w:line="293" w:lineRule="atLeast"/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58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часть (задание</w:t>
      </w:r>
      <w:r w:rsidRPr="0046158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9.3: сочинение-рассуждение</w:t>
      </w:r>
      <w:r w:rsidRPr="0046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46158E" w:rsidRPr="0046158E" w:rsidRDefault="0046158E" w:rsidP="00461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работы отражало умение школьника строить собственное высказывание в соответствии с определённым типом речи. Задания были равноценными по уровню трудности и оценивались по сближенным критериям. Особое внимание уделялось умению извлекать из прочитанного текста информацию для иллюстрации тезиса и включать в собственный текст.</w:t>
      </w:r>
    </w:p>
    <w:p w:rsidR="0046158E" w:rsidRPr="0046158E" w:rsidRDefault="0046158E" w:rsidP="0046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Выполняя задание 9, </w:t>
      </w:r>
      <w:r w:rsidRPr="004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трех предложенных для сочинения-рассуждения тем учащиеся выбрали тему 9.3.</w:t>
      </w:r>
    </w:p>
    <w:p w:rsidR="0046158E" w:rsidRPr="0046158E" w:rsidRDefault="0046158E" w:rsidP="0046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 </w:t>
      </w:r>
      <w:r w:rsidRPr="004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сочинений-рассуждений задания свидетельствует о том, что в основном девятиклассники научены создавать текст, характеризующийся смысловой цельностью и последовательностью, однако не все обучающиеся раскрывают на должном уровне смысл высказывания, приводят необходимые примеры из текста и из жизни. Трудно даётся толкование слова в сочинении 9,3. Это объясняется низким уровнем читательской культуры девятиклассников.</w:t>
      </w:r>
    </w:p>
    <w:p w:rsidR="0046158E" w:rsidRPr="0046158E" w:rsidRDefault="0046158E" w:rsidP="0046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6158E" w:rsidRPr="0046158E" w:rsidRDefault="0046158E" w:rsidP="0046158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b/>
          <w:sz w:val="24"/>
          <w:szCs w:val="24"/>
        </w:rPr>
        <w:t xml:space="preserve">Анализ заданий части 3 (сочинение-рассуждение) выявил следующие </w:t>
      </w:r>
      <w:r w:rsidRPr="0046158E">
        <w:rPr>
          <w:rFonts w:ascii="Times New Roman" w:eastAsia="Calibri" w:hAnsi="Times New Roman" w:cs="Times New Roman"/>
          <w:sz w:val="24"/>
          <w:szCs w:val="24"/>
        </w:rPr>
        <w:t>ошибки:</w:t>
      </w:r>
    </w:p>
    <w:p w:rsidR="0046158E" w:rsidRPr="0046158E" w:rsidRDefault="0046158E" w:rsidP="0046158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 xml:space="preserve">- рассуждение не на теоретическом уровне, вне контекста; </w:t>
      </w:r>
      <w:r w:rsidR="009D0F8D">
        <w:rPr>
          <w:rFonts w:ascii="Times New Roman" w:eastAsia="Calibri" w:hAnsi="Times New Roman" w:cs="Times New Roman"/>
          <w:sz w:val="24"/>
          <w:szCs w:val="24"/>
        </w:rPr>
        <w:t>тезис на бытовом уровне</w:t>
      </w:r>
    </w:p>
    <w:p w:rsidR="0046158E" w:rsidRPr="0046158E" w:rsidRDefault="0046158E" w:rsidP="0046158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 xml:space="preserve">- нет примеров – аргументов, или примеры неудачные, не были засчитаны </w:t>
      </w:r>
    </w:p>
    <w:p w:rsidR="0046158E" w:rsidRPr="0046158E" w:rsidRDefault="0046158E" w:rsidP="0046158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>- нарушены смысловая цельность, речевая связность и последовательность- нарушение композиционной стройности</w:t>
      </w:r>
    </w:p>
    <w:p w:rsidR="0046158E" w:rsidRPr="0046158E" w:rsidRDefault="0046158E" w:rsidP="0046158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6158E" w:rsidRPr="0046158E" w:rsidRDefault="0046158E" w:rsidP="009D0F8D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158E">
        <w:rPr>
          <w:rFonts w:ascii="Times New Roman" w:eastAsia="Calibri" w:hAnsi="Times New Roman" w:cs="Times New Roman"/>
          <w:b/>
          <w:sz w:val="24"/>
          <w:szCs w:val="24"/>
        </w:rPr>
        <w:t xml:space="preserve">Грамматические и фактические </w:t>
      </w:r>
      <w:r w:rsidR="009D0F8D">
        <w:rPr>
          <w:rFonts w:ascii="Times New Roman" w:eastAsia="Calibri" w:hAnsi="Times New Roman" w:cs="Times New Roman"/>
          <w:b/>
          <w:sz w:val="24"/>
          <w:szCs w:val="24"/>
        </w:rPr>
        <w:t>ошибки:</w:t>
      </w:r>
    </w:p>
    <w:p w:rsidR="0046158E" w:rsidRPr="0046158E" w:rsidRDefault="0046158E" w:rsidP="0046158E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>- соблюдение орфографических норм</w:t>
      </w:r>
    </w:p>
    <w:p w:rsidR="0046158E" w:rsidRPr="0046158E" w:rsidRDefault="0046158E" w:rsidP="0046158E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 xml:space="preserve">- соблюдение </w:t>
      </w:r>
      <w:proofErr w:type="gramStart"/>
      <w:r w:rsidRPr="0046158E">
        <w:rPr>
          <w:rFonts w:ascii="Times New Roman" w:eastAsia="Calibri" w:hAnsi="Times New Roman" w:cs="Times New Roman"/>
          <w:sz w:val="24"/>
          <w:szCs w:val="24"/>
        </w:rPr>
        <w:t>пунктуационных  норм</w:t>
      </w:r>
      <w:proofErr w:type="gramEnd"/>
    </w:p>
    <w:p w:rsidR="0046158E" w:rsidRPr="0046158E" w:rsidRDefault="0046158E" w:rsidP="0046158E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>- соблюдение грамматических норм</w:t>
      </w:r>
    </w:p>
    <w:p w:rsidR="009D0F8D" w:rsidRDefault="0046158E" w:rsidP="0046158E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>- соблюдение речевых норм</w:t>
      </w:r>
    </w:p>
    <w:p w:rsidR="0046158E" w:rsidRPr="0046158E" w:rsidRDefault="0046158E" w:rsidP="0046158E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158E">
        <w:rPr>
          <w:rFonts w:ascii="Times New Roman" w:eastAsia="Calibri" w:hAnsi="Times New Roman" w:cs="Times New Roman"/>
          <w:sz w:val="24"/>
          <w:szCs w:val="24"/>
        </w:rPr>
        <w:t>- соблюдение фактической точности в письменной речи</w:t>
      </w:r>
    </w:p>
    <w:p w:rsidR="009D0F8D" w:rsidRDefault="009D0F8D" w:rsidP="0046158E"/>
    <w:p w:rsidR="009D0F8D" w:rsidRPr="009D0F8D" w:rsidRDefault="009D0F8D" w:rsidP="009D0F8D"/>
    <w:p w:rsidR="009D0F8D" w:rsidRDefault="009D0F8D" w:rsidP="009D0F8D">
      <w:pPr>
        <w:spacing w:before="75" w:after="0" w:line="293" w:lineRule="atLeast"/>
        <w:ind w:right="75"/>
      </w:pPr>
      <w:r>
        <w:t xml:space="preserve">                                                    </w:t>
      </w:r>
    </w:p>
    <w:p w:rsidR="009D0F8D" w:rsidRDefault="009D0F8D" w:rsidP="009D0F8D">
      <w:pPr>
        <w:spacing w:before="75" w:after="0" w:line="293" w:lineRule="atLeast"/>
        <w:ind w:right="75"/>
      </w:pPr>
    </w:p>
    <w:p w:rsidR="009D0F8D" w:rsidRPr="009D0F8D" w:rsidRDefault="009D0F8D" w:rsidP="009D0F8D">
      <w:pPr>
        <w:spacing w:before="75" w:after="0" w:line="293" w:lineRule="atLeast"/>
        <w:ind w:right="75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t xml:space="preserve">                                                  </w:t>
      </w:r>
      <w:r w:rsidR="00116518">
        <w:t xml:space="preserve">  </w:t>
      </w:r>
      <w:r w:rsidRPr="009D0F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Выводы и рекомендации:</w:t>
      </w:r>
    </w:p>
    <w:p w:rsidR="009D0F8D" w:rsidRPr="009D0F8D" w:rsidRDefault="009D0F8D" w:rsidP="009D0F8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пробного экзамена позволил выработать следующие рекомендации: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умения и навыки </w:t>
      </w:r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языкового анализа.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больше внимания уделять анализу текстов различных стилей и типов речи.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монологическую речь учащихся как системообразующего фактора речевой культуры.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 навыки рационального чтения учебных, научно-популярных, публицистических текстов, формировать на этой основе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работы с книгой.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 правила по орфографии, пунктуации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систему тестового контроля.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обратить на повышение уровня практической грамотности </w:t>
      </w:r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пунктуации, орфографии.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</w:t>
      </w:r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к работе над сжатым изложением и тренировать практические умения обучающихся. 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подготовку </w:t>
      </w:r>
      <w:bookmarkStart w:id="1" w:name="_Hlk497587507"/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bookmarkEnd w:id="1"/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сочинению-рассуждению. Особое внимание уделять формированию умений аргументировать свои мысли, используя прочитанный текст.</w:t>
      </w:r>
    </w:p>
    <w:p w:rsidR="009D0F8D" w:rsidRPr="009D0F8D" w:rsidRDefault="009D0F8D" w:rsidP="009D0F8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заполнять бланки ОГЭ.</w:t>
      </w:r>
    </w:p>
    <w:p w:rsidR="00047120" w:rsidRPr="009D0F8D" w:rsidRDefault="00047120" w:rsidP="009D0F8D"/>
    <w:sectPr w:rsidR="00047120" w:rsidRPr="009D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A7F19"/>
    <w:multiLevelType w:val="hybridMultilevel"/>
    <w:tmpl w:val="FAE8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1181E"/>
    <w:multiLevelType w:val="hybridMultilevel"/>
    <w:tmpl w:val="F79EF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3F"/>
    <w:rsid w:val="00047120"/>
    <w:rsid w:val="00116518"/>
    <w:rsid w:val="00204729"/>
    <w:rsid w:val="0046158E"/>
    <w:rsid w:val="00482F4C"/>
    <w:rsid w:val="004C1CBD"/>
    <w:rsid w:val="00522616"/>
    <w:rsid w:val="005A0836"/>
    <w:rsid w:val="006712A3"/>
    <w:rsid w:val="007B190D"/>
    <w:rsid w:val="0082554C"/>
    <w:rsid w:val="00840C3F"/>
    <w:rsid w:val="009D0F8D"/>
    <w:rsid w:val="00A30577"/>
    <w:rsid w:val="00A43C88"/>
    <w:rsid w:val="00E4360F"/>
    <w:rsid w:val="00E85881"/>
    <w:rsid w:val="00F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687EC-F0E7-415F-865E-F674E3D1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2022-03-02T21:56:00Z</cp:lastPrinted>
  <dcterms:created xsi:type="dcterms:W3CDTF">2022-02-28T09:08:00Z</dcterms:created>
  <dcterms:modified xsi:type="dcterms:W3CDTF">2022-03-02T21:57:00Z</dcterms:modified>
</cp:coreProperties>
</file>