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14" w:rsidRDefault="00960814" w:rsidP="00960814">
      <w:pPr>
        <w:pStyle w:val="a3"/>
        <w:jc w:val="left"/>
        <w:rPr>
          <w:b/>
          <w:bCs/>
          <w:i/>
          <w:color w:val="C00000"/>
          <w:sz w:val="52"/>
          <w:szCs w:val="52"/>
        </w:rPr>
      </w:pPr>
      <w:r>
        <w:rPr>
          <w:b/>
          <w:bCs/>
          <w:i/>
          <w:color w:val="C00000"/>
          <w:sz w:val="52"/>
          <w:szCs w:val="52"/>
        </w:rPr>
        <w:t xml:space="preserve">  </w:t>
      </w:r>
    </w:p>
    <w:p w:rsidR="00960814" w:rsidRPr="00E71624" w:rsidRDefault="00960814" w:rsidP="00960814">
      <w:pPr>
        <w:pStyle w:val="a3"/>
        <w:jc w:val="left"/>
        <w:rPr>
          <w:b/>
          <w:bCs/>
          <w:i/>
          <w:color w:val="C00000"/>
          <w:sz w:val="52"/>
          <w:szCs w:val="52"/>
        </w:rPr>
      </w:pPr>
      <w:r>
        <w:rPr>
          <w:b/>
          <w:bCs/>
          <w:i/>
          <w:color w:val="C00000"/>
          <w:sz w:val="52"/>
          <w:szCs w:val="52"/>
        </w:rPr>
        <w:t xml:space="preserve">              </w:t>
      </w:r>
      <w:r w:rsidRPr="00E71624">
        <w:rPr>
          <w:b/>
          <w:bCs/>
          <w:i/>
          <w:color w:val="C00000"/>
          <w:sz w:val="52"/>
          <w:szCs w:val="52"/>
        </w:rPr>
        <w:t xml:space="preserve">План работы ШМО </w:t>
      </w:r>
    </w:p>
    <w:p w:rsidR="00960814" w:rsidRDefault="00960814" w:rsidP="00960814">
      <w:pPr>
        <w:pStyle w:val="a3"/>
        <w:jc w:val="left"/>
        <w:rPr>
          <w:b/>
          <w:bCs/>
          <w:i/>
          <w:color w:val="C00000"/>
          <w:sz w:val="52"/>
          <w:szCs w:val="52"/>
        </w:rPr>
      </w:pPr>
      <w:r w:rsidRPr="00E71624">
        <w:rPr>
          <w:b/>
          <w:bCs/>
          <w:i/>
          <w:color w:val="C00000"/>
          <w:sz w:val="52"/>
          <w:szCs w:val="52"/>
        </w:rPr>
        <w:t xml:space="preserve">    </w:t>
      </w:r>
      <w:r w:rsidR="009951E8">
        <w:rPr>
          <w:b/>
          <w:bCs/>
          <w:i/>
          <w:color w:val="C00000"/>
          <w:sz w:val="52"/>
          <w:szCs w:val="52"/>
        </w:rPr>
        <w:t xml:space="preserve">  на 2021</w:t>
      </w:r>
      <w:r>
        <w:rPr>
          <w:b/>
          <w:bCs/>
          <w:i/>
          <w:color w:val="C00000"/>
          <w:sz w:val="52"/>
          <w:szCs w:val="52"/>
        </w:rPr>
        <w:t xml:space="preserve"> – 20</w:t>
      </w:r>
      <w:r w:rsidR="009951E8">
        <w:rPr>
          <w:b/>
          <w:bCs/>
          <w:i/>
          <w:color w:val="C00000"/>
          <w:sz w:val="52"/>
          <w:szCs w:val="52"/>
        </w:rPr>
        <w:t>22</w:t>
      </w:r>
      <w:r>
        <w:rPr>
          <w:b/>
          <w:bCs/>
          <w:i/>
          <w:color w:val="C00000"/>
          <w:sz w:val="52"/>
          <w:szCs w:val="52"/>
        </w:rPr>
        <w:t xml:space="preserve"> </w:t>
      </w:r>
      <w:r w:rsidRPr="00E71624">
        <w:rPr>
          <w:b/>
          <w:bCs/>
          <w:i/>
          <w:color w:val="C00000"/>
          <w:sz w:val="52"/>
          <w:szCs w:val="52"/>
        </w:rPr>
        <w:t>учебный год</w:t>
      </w:r>
    </w:p>
    <w:p w:rsidR="00960814" w:rsidRDefault="00960814" w:rsidP="00960814">
      <w:pPr>
        <w:pStyle w:val="a3"/>
        <w:jc w:val="left"/>
        <w:rPr>
          <w:b/>
          <w:bCs/>
          <w:i/>
          <w:color w:val="C00000"/>
          <w:sz w:val="52"/>
          <w:szCs w:val="52"/>
        </w:rPr>
      </w:pPr>
    </w:p>
    <w:tbl>
      <w:tblPr>
        <w:tblStyle w:val="2-5"/>
        <w:tblW w:w="9922" w:type="dxa"/>
        <w:tblInd w:w="534" w:type="dxa"/>
        <w:tblLook w:val="04A0" w:firstRow="1" w:lastRow="0" w:firstColumn="1" w:lastColumn="0" w:noHBand="0" w:noVBand="1"/>
      </w:tblPr>
      <w:tblGrid>
        <w:gridCol w:w="1832"/>
        <w:gridCol w:w="6531"/>
        <w:gridCol w:w="1559"/>
      </w:tblGrid>
      <w:tr w:rsidR="00960814" w:rsidTr="00535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2" w:type="dxa"/>
            <w:shd w:val="clear" w:color="auto" w:fill="EEECE1" w:themeFill="background2"/>
          </w:tcPr>
          <w:p w:rsidR="00960814" w:rsidRPr="00535A9C" w:rsidRDefault="00960814" w:rsidP="008F01C6">
            <w:pPr>
              <w:pStyle w:val="a3"/>
              <w:jc w:val="left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  <w:r w:rsidRPr="00535A9C"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  <w:t>№ заседания</w:t>
            </w:r>
          </w:p>
        </w:tc>
        <w:tc>
          <w:tcPr>
            <w:tcW w:w="6531" w:type="dxa"/>
            <w:shd w:val="clear" w:color="auto" w:fill="EEECE1" w:themeFill="background2"/>
          </w:tcPr>
          <w:p w:rsidR="00960814" w:rsidRPr="00535A9C" w:rsidRDefault="00960814" w:rsidP="008F01C6">
            <w:pPr>
              <w:pStyle w:val="a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</w:p>
          <w:p w:rsidR="00960814" w:rsidRPr="00535A9C" w:rsidRDefault="00960814" w:rsidP="008F01C6">
            <w:pPr>
              <w:pStyle w:val="a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  <w:r w:rsidRPr="00535A9C"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  <w:t xml:space="preserve">                       Тема заседания </w:t>
            </w:r>
          </w:p>
        </w:tc>
        <w:tc>
          <w:tcPr>
            <w:tcW w:w="1559" w:type="dxa"/>
            <w:shd w:val="clear" w:color="auto" w:fill="EEECE1" w:themeFill="background2"/>
          </w:tcPr>
          <w:p w:rsidR="00960814" w:rsidRPr="00535A9C" w:rsidRDefault="00960814" w:rsidP="008F01C6">
            <w:pPr>
              <w:pStyle w:val="a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</w:p>
          <w:p w:rsidR="00960814" w:rsidRPr="00535A9C" w:rsidRDefault="00960814" w:rsidP="008F01C6">
            <w:pPr>
              <w:pStyle w:val="a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  <w:r w:rsidRPr="00535A9C"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  <w:t xml:space="preserve">  Сроки</w:t>
            </w:r>
          </w:p>
        </w:tc>
      </w:tr>
      <w:tr w:rsidR="00960814" w:rsidTr="00535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</w:t>
            </w: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1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Default="00960814" w:rsidP="000024AD">
            <w:pPr>
              <w:pStyle w:val="a3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Планирование и организация методической работы учителей МО на 20</w:t>
            </w:r>
            <w:r w:rsidR="00535A9C">
              <w:rPr>
                <w:rFonts w:cstheme="minorHAnsi"/>
                <w:b/>
                <w:bCs/>
                <w:i/>
                <w:color w:val="auto"/>
                <w:sz w:val="24"/>
              </w:rPr>
              <w:t>20-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20</w:t>
            </w:r>
            <w:r w:rsidR="00205BC0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 w:rsidR="00535A9C">
              <w:rPr>
                <w:rFonts w:cstheme="minorHAnsi"/>
                <w:b/>
                <w:bCs/>
                <w:i/>
                <w:color w:val="auto"/>
                <w:sz w:val="24"/>
              </w:rPr>
              <w:t>1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учебный год.</w:t>
            </w:r>
          </w:p>
          <w:p w:rsidR="000024AD" w:rsidRPr="00265970" w:rsidRDefault="000024AD" w:rsidP="000024AD">
            <w:pPr>
              <w:pStyle w:val="a3"/>
              <w:ind w:left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960814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август</w:t>
            </w:r>
          </w:p>
        </w:tc>
      </w:tr>
      <w:tr w:rsidR="00960814" w:rsidTr="00535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2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1. 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Пути повышения профессиональной компетентности учителей.</w:t>
            </w:r>
          </w:p>
          <w:p w:rsidR="00960814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2.  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Адаптация </w:t>
            </w:r>
            <w:proofErr w:type="gramStart"/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пятиклассников .</w:t>
            </w:r>
            <w:proofErr w:type="gramEnd"/>
          </w:p>
          <w:p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ноябрь</w:t>
            </w:r>
          </w:p>
        </w:tc>
      </w:tr>
      <w:tr w:rsidR="00960814" w:rsidTr="00535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3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1. 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 </w:t>
            </w: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Эффективные формы и методы </w:t>
            </w:r>
          </w:p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    для подготовки выпускников к </w:t>
            </w:r>
            <w:proofErr w:type="gramStart"/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экзаменам  ЕГЭ</w:t>
            </w:r>
            <w:proofErr w:type="gramEnd"/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</w:t>
            </w:r>
            <w:r w:rsidR="00535A9C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</w:t>
            </w: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и ОГЭ.</w:t>
            </w:r>
          </w:p>
          <w:p w:rsidR="00535A9C" w:rsidRPr="00404BBB" w:rsidRDefault="00960814" w:rsidP="00404BBB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2.  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Формирование функциональной грамотности на уроках русского языка и литературы</w:t>
            </w:r>
          </w:p>
          <w:p w:rsidR="00960814" w:rsidRPr="00265970" w:rsidRDefault="00960814" w:rsidP="00404BBB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январь</w:t>
            </w:r>
          </w:p>
        </w:tc>
      </w:tr>
      <w:tr w:rsidR="00960814" w:rsidTr="00535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4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ind w:left="39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960814">
            <w:pPr>
              <w:pStyle w:val="a3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>
              <w:rPr>
                <w:rFonts w:cstheme="minorHAnsi"/>
                <w:b/>
                <w:i/>
                <w:color w:val="auto"/>
                <w:sz w:val="24"/>
              </w:rPr>
              <w:t>Освоение и внедрение ФГОС. Создание образовательного пространства для самореализации учителя и учащихся.</w:t>
            </w:r>
          </w:p>
          <w:p w:rsidR="00960814" w:rsidRPr="00265970" w:rsidRDefault="00960814" w:rsidP="00960814">
            <w:pPr>
              <w:pStyle w:val="a5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theme="minorHAns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b/>
                <w:bCs/>
                <w:i/>
                <w:color w:val="auto"/>
                <w:sz w:val="24"/>
                <w:szCs w:val="24"/>
                <w:shd w:val="clear" w:color="auto" w:fill="DAEEF3" w:themeFill="accent5" w:themeFillTint="33"/>
              </w:rPr>
              <w:t>Актуальные проблемы подготовки к ОГЭ и ЕГЭ.</w:t>
            </w:r>
          </w:p>
          <w:p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март</w:t>
            </w:r>
          </w:p>
        </w:tc>
      </w:tr>
      <w:tr w:rsidR="00960814" w:rsidTr="00535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5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1.Самоанализ </w:t>
            </w:r>
          </w:p>
          <w:p w:rsidR="000024AD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2.Результаты работы МО за 20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21</w:t>
            </w: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-20</w:t>
            </w:r>
            <w:r w:rsidR="00205BC0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</w:t>
            </w: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учебный год</w:t>
            </w:r>
            <w:r w:rsidR="000024AD">
              <w:rPr>
                <w:rFonts w:cstheme="minorHAnsi"/>
                <w:b/>
                <w:bCs/>
                <w:i/>
                <w:color w:val="auto"/>
                <w:sz w:val="24"/>
              </w:rPr>
              <w:t>.</w:t>
            </w:r>
          </w:p>
          <w:p w:rsidR="000024AD" w:rsidRDefault="000024AD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3. Планирование работы МО на 20</w:t>
            </w:r>
            <w:r w:rsidR="00205BC0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-202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3</w:t>
            </w:r>
            <w:bookmarkStart w:id="0" w:name="_GoBack"/>
            <w:bookmarkEnd w:id="0"/>
            <w:r w:rsidR="00535A9C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учебный год.</w:t>
            </w:r>
          </w:p>
          <w:p w:rsidR="000024AD" w:rsidRDefault="000024AD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0024AD" w:rsidRPr="00265970" w:rsidRDefault="000024AD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май</w:t>
            </w:r>
          </w:p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</w:tr>
    </w:tbl>
    <w:p w:rsidR="008F6E45" w:rsidRDefault="008F6E45"/>
    <w:sectPr w:rsidR="008F6E45" w:rsidSect="00535A9C">
      <w:pgSz w:w="11906" w:h="16838"/>
      <w:pgMar w:top="567" w:right="424" w:bottom="1134" w:left="567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513C6"/>
    <w:multiLevelType w:val="hybridMultilevel"/>
    <w:tmpl w:val="2B3641F6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548E1787"/>
    <w:multiLevelType w:val="hybridMultilevel"/>
    <w:tmpl w:val="01CC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FBB"/>
    <w:rsid w:val="000024AD"/>
    <w:rsid w:val="0001426B"/>
    <w:rsid w:val="00205BC0"/>
    <w:rsid w:val="00402FBB"/>
    <w:rsid w:val="00404BBB"/>
    <w:rsid w:val="00535A9C"/>
    <w:rsid w:val="008F6E45"/>
    <w:rsid w:val="00960814"/>
    <w:rsid w:val="009951E8"/>
    <w:rsid w:val="00A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9EDCB-D75F-4A40-8035-F2B8C0E9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1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0814"/>
    <w:pPr>
      <w:spacing w:after="0" w:line="240" w:lineRule="auto"/>
      <w:jc w:val="center"/>
    </w:pPr>
    <w:rPr>
      <w:rFonts w:ascii="Bookman Old Style" w:eastAsia="Times New Roman" w:hAnsi="Bookman Old Style" w:cs="Times New Roman"/>
      <w:sz w:val="100"/>
      <w:szCs w:val="24"/>
    </w:rPr>
  </w:style>
  <w:style w:type="character" w:customStyle="1" w:styleId="a4">
    <w:name w:val="Основной текст Знак"/>
    <w:basedOn w:val="a0"/>
    <w:link w:val="a3"/>
    <w:semiHidden/>
    <w:rsid w:val="00960814"/>
    <w:rPr>
      <w:rFonts w:ascii="Bookman Old Style" w:eastAsia="Times New Roman" w:hAnsi="Bookman Old Style" w:cs="Times New Roman"/>
      <w:sz w:val="100"/>
      <w:szCs w:val="24"/>
      <w:lang w:eastAsia="ru-RU"/>
    </w:rPr>
  </w:style>
  <w:style w:type="paragraph" w:styleId="a5">
    <w:name w:val="List Paragraph"/>
    <w:basedOn w:val="a"/>
    <w:uiPriority w:val="34"/>
    <w:qFormat/>
    <w:rsid w:val="00960814"/>
    <w:pPr>
      <w:ind w:left="720"/>
      <w:contextualSpacing/>
    </w:pPr>
    <w:rPr>
      <w:rFonts w:eastAsiaTheme="minorHAnsi"/>
      <w:lang w:eastAsia="en-US"/>
    </w:rPr>
  </w:style>
  <w:style w:type="table" w:styleId="2-5">
    <w:name w:val="Medium Grid 2 Accent 5"/>
    <w:basedOn w:val="a1"/>
    <w:uiPriority w:val="68"/>
    <w:rsid w:val="009608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404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BB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Я</cp:lastModifiedBy>
  <cp:revision>8</cp:revision>
  <cp:lastPrinted>2022-03-28T18:00:00Z</cp:lastPrinted>
  <dcterms:created xsi:type="dcterms:W3CDTF">2018-10-13T23:06:00Z</dcterms:created>
  <dcterms:modified xsi:type="dcterms:W3CDTF">2022-03-28T18:00:00Z</dcterms:modified>
</cp:coreProperties>
</file>